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072C5" w14:textId="77777777" w:rsidR="00523A44" w:rsidRPr="00523A44" w:rsidRDefault="00523A44" w:rsidP="00523A44">
      <w:pPr>
        <w:jc w:val="center"/>
        <w:rPr>
          <w:b/>
          <w:u w:val="single"/>
        </w:rPr>
      </w:pPr>
      <w:r w:rsidRPr="00523A44">
        <w:rPr>
          <w:b/>
          <w:u w:val="single"/>
        </w:rPr>
        <w:t>MEMORANDUM</w:t>
      </w:r>
    </w:p>
    <w:p w14:paraId="4E8FE19B" w14:textId="77777777" w:rsidR="00523A44" w:rsidRDefault="00523A44"/>
    <w:p w14:paraId="00CEE2AF" w14:textId="77777777" w:rsidR="005E795E" w:rsidRDefault="00523A44">
      <w:r>
        <w:t xml:space="preserve">To:  </w:t>
      </w:r>
      <w:r w:rsidR="00A65A6F">
        <w:t>Catherine Cheney</w:t>
      </w:r>
    </w:p>
    <w:p w14:paraId="1BDB1238" w14:textId="77777777" w:rsidR="00A65A6F" w:rsidRDefault="00523A44">
      <w:r>
        <w:t>From:  Mark A. Stull, Esq.</w:t>
      </w:r>
    </w:p>
    <w:p w14:paraId="3E569C20" w14:textId="77777777" w:rsidR="00A65A6F" w:rsidRDefault="00A65A6F">
      <w:r>
        <w:t>Re:</w:t>
      </w:r>
      <w:r w:rsidR="00523A44">
        <w:t xml:space="preserve">  </w:t>
      </w:r>
      <w:proofErr w:type="spellStart"/>
      <w:r w:rsidR="00523A44">
        <w:t>Cochecho</w:t>
      </w:r>
      <w:proofErr w:type="spellEnd"/>
      <w:r w:rsidR="00523A44">
        <w:t xml:space="preserve"> Waterfront Development Analysis</w:t>
      </w:r>
    </w:p>
    <w:p w14:paraId="1BB05C4B" w14:textId="77777777" w:rsidR="00523A44" w:rsidRDefault="00523A44">
      <w:r>
        <w:t>Date:  February 27, 2015</w:t>
      </w:r>
    </w:p>
    <w:p w14:paraId="57D1712D" w14:textId="77777777" w:rsidR="00A65A6F" w:rsidRDefault="00A65A6F"/>
    <w:p w14:paraId="18EFB393" w14:textId="77777777" w:rsidR="00A65A6F" w:rsidRDefault="00A65A6F">
      <w:r>
        <w:t>Cathy:</w:t>
      </w:r>
    </w:p>
    <w:p w14:paraId="3EC8DB47" w14:textId="77777777" w:rsidR="00A65A6F" w:rsidRDefault="00A65A6F"/>
    <w:p w14:paraId="3A911A92" w14:textId="77777777" w:rsidR="00A65A6F" w:rsidRDefault="00A65A6F" w:rsidP="00A01B15">
      <w:r>
        <w:tab/>
        <w:t xml:space="preserve">You have asked me to respond to the following </w:t>
      </w:r>
      <w:r w:rsidR="0030687B">
        <w:t>question</w:t>
      </w:r>
      <w:r w:rsidR="00A01B15">
        <w:t xml:space="preserve"> with respect to development of the Dover waterfront area described in the </w:t>
      </w:r>
      <w:proofErr w:type="spellStart"/>
      <w:r w:rsidR="00A01B15">
        <w:t>Cochecho</w:t>
      </w:r>
      <w:proofErr w:type="spellEnd"/>
      <w:r w:rsidR="00A01B15">
        <w:t xml:space="preserve"> Waterfront Development Analysis prepared for the City of Dover by Abramson &amp; Associates, Inc. dated February 24, 2015</w:t>
      </w:r>
      <w:r>
        <w:t>:</w:t>
      </w:r>
      <w:r w:rsidR="00A01B15">
        <w:t xml:space="preserve"> </w:t>
      </w:r>
    </w:p>
    <w:p w14:paraId="6BB51C77" w14:textId="77777777" w:rsidR="00A01B15" w:rsidRDefault="00A01B15"/>
    <w:p w14:paraId="1E1201BC" w14:textId="77777777" w:rsidR="00A01B15" w:rsidRDefault="00A01B15" w:rsidP="00A01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01B15">
        <w:t>1.  Does RSA 162-G preclude or encourage its use for the type of development outlined in the Waterfront Analysis, our zoning, in the direction of mixed-use?</w:t>
      </w:r>
    </w:p>
    <w:p w14:paraId="33D9508E" w14:textId="77777777" w:rsidR="00601DB9" w:rsidRPr="00A01B15" w:rsidRDefault="00601DB9" w:rsidP="00A01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0" w:name="_GoBack"/>
      <w:bookmarkEnd w:id="0"/>
    </w:p>
    <w:p w14:paraId="32F42776" w14:textId="77777777" w:rsidR="00A01B15" w:rsidRDefault="00A01B15"/>
    <w:p w14:paraId="5B9AA578" w14:textId="77777777" w:rsidR="00601DB9" w:rsidRDefault="00601DB9">
      <w:r>
        <w:tab/>
        <w:t>According to RSA §162-G:2, the purpose of that Chapter is</w:t>
      </w:r>
    </w:p>
    <w:p w14:paraId="56CAD0FF" w14:textId="77777777" w:rsidR="00601DB9" w:rsidRDefault="00601DB9" w:rsidP="00601DB9">
      <w:pPr>
        <w:ind w:left="720" w:right="720"/>
      </w:pPr>
      <w:proofErr w:type="gramStart"/>
      <w:r w:rsidRPr="00601DB9">
        <w:t>to</w:t>
      </w:r>
      <w:proofErr w:type="gramEnd"/>
      <w:r w:rsidRPr="00601DB9">
        <w:t xml:space="preserve"> authorize the cities and towns of the state to foster and encourage the development of business and industrial facilities within or without their respective boundaries</w:t>
      </w:r>
    </w:p>
    <w:p w14:paraId="3DC0AFC3" w14:textId="77777777" w:rsidR="00601DB9" w:rsidRDefault="00601DB9" w:rsidP="00601DB9">
      <w:pPr>
        <w:ind w:right="720"/>
      </w:pPr>
    </w:p>
    <w:p w14:paraId="24239F9D" w14:textId="77777777" w:rsidR="00601DB9" w:rsidRDefault="00601DB9" w:rsidP="00601DB9">
      <w:r>
        <w:t>The term “business and industrial facilities” is defined by RSA §162-G</w:t>
      </w:r>
      <w:proofErr w:type="gramStart"/>
      <w:r>
        <w:t>:3</w:t>
      </w:r>
      <w:proofErr w:type="gramEnd"/>
      <w:r>
        <w:t>(IV) to mean</w:t>
      </w:r>
    </w:p>
    <w:p w14:paraId="05AF005D" w14:textId="77777777" w:rsidR="00DB340B" w:rsidRDefault="00DB340B" w:rsidP="00601DB9"/>
    <w:p w14:paraId="25AD9759" w14:textId="77777777" w:rsidR="00DB340B" w:rsidRDefault="00DB340B" w:rsidP="009416B0">
      <w:pPr>
        <w:ind w:left="720" w:right="720"/>
      </w:pPr>
      <w:r w:rsidRPr="00DB340B">
        <w:t xml:space="preserve">any land, any building or other improvement, and </w:t>
      </w:r>
      <w:r w:rsidRPr="009416B0">
        <w:rPr>
          <w:b/>
        </w:rPr>
        <w:t>all real and personal properties</w:t>
      </w:r>
      <w:r w:rsidRPr="00DB340B">
        <w:t xml:space="preserve">, including </w:t>
      </w:r>
      <w:r w:rsidRPr="00DB340B">
        <w:rPr>
          <w:b/>
        </w:rPr>
        <w:t>but not limited to</w:t>
      </w:r>
      <w:r w:rsidRPr="00DB340B">
        <w:t xml:space="preserve">, machinery and equipment </w:t>
      </w:r>
      <w:r w:rsidRPr="00DB340B">
        <w:rPr>
          <w:b/>
        </w:rPr>
        <w:t>deemed necessary</w:t>
      </w:r>
      <w:r w:rsidRPr="00DB340B">
        <w:t xml:space="preserve"> in connection therewith, whether or not now in existence, which shall be suitable for use for </w:t>
      </w:r>
      <w:r w:rsidRPr="00DB340B">
        <w:rPr>
          <w:b/>
        </w:rPr>
        <w:t>commercial, business service</w:t>
      </w:r>
      <w:r w:rsidRPr="00DB340B">
        <w:t>, manufacturing, warehousing, processing wastes, renewable energy, or other business and industrial purposes, but shall not include raw materials, work in process or stock in trade.</w:t>
      </w:r>
      <w:r w:rsidR="009416B0">
        <w:t xml:space="preserve">  </w:t>
      </w:r>
      <w:r w:rsidR="009416B0" w:rsidRPr="009416B0">
        <w:t xml:space="preserve">Facilities incidental to the foregoing </w:t>
      </w:r>
      <w:r w:rsidR="009416B0" w:rsidRPr="00B9653D">
        <w:rPr>
          <w:b/>
        </w:rPr>
        <w:t>such as</w:t>
      </w:r>
      <w:r w:rsidR="009416B0" w:rsidRPr="009416B0">
        <w:t xml:space="preserve"> utility lines, storage accommodations, and transportation facilities shall be deemed to be part of a business and industrial facility</w:t>
      </w:r>
      <w:r w:rsidR="009416B0">
        <w:t>.  (</w:t>
      </w:r>
      <w:proofErr w:type="gramStart"/>
      <w:r w:rsidR="009416B0">
        <w:t>emphasis</w:t>
      </w:r>
      <w:proofErr w:type="gramEnd"/>
      <w:r w:rsidR="009416B0">
        <w:t xml:space="preserve"> added)</w:t>
      </w:r>
    </w:p>
    <w:p w14:paraId="0F940794" w14:textId="77777777" w:rsidR="009416B0" w:rsidRDefault="009416B0" w:rsidP="009416B0">
      <w:pPr>
        <w:ind w:right="720"/>
      </w:pPr>
    </w:p>
    <w:p w14:paraId="3CF36EDD" w14:textId="77777777" w:rsidR="009416B0" w:rsidRDefault="001F4F0D" w:rsidP="001F4F0D">
      <w:r>
        <w:t>You have provided me with an opinion by Dover’s City Attorney, which, you have informed me, was released to the public and should no longer be treated as confidential.  The City Attorney’s opinion concludes that the contemplated waterfront project may not be developed pursuant to RSA §162-G because the development</w:t>
      </w:r>
      <w:r w:rsidR="00ED1C0A">
        <w:t xml:space="preserve"> includes</w:t>
      </w:r>
      <w:r>
        <w:t xml:space="preserve"> residential and recreational </w:t>
      </w:r>
      <w:r w:rsidR="00ED1C0A">
        <w:t>land uses</w:t>
      </w:r>
      <w:r>
        <w:t>.</w:t>
      </w:r>
    </w:p>
    <w:p w14:paraId="61F0F3AB" w14:textId="77777777" w:rsidR="001F4F0D" w:rsidRDefault="001F4F0D" w:rsidP="001F4F0D"/>
    <w:p w14:paraId="73C0C9B9" w14:textId="77777777" w:rsidR="0009056C" w:rsidRDefault="001F4F0D" w:rsidP="001F4F0D">
      <w:r>
        <w:tab/>
        <w:t>I agree with the City Attorney that a development consisting of residential or public recreational facilities does not fall within the purview of RSA §162-G</w:t>
      </w:r>
      <w:proofErr w:type="gramStart"/>
      <w:r>
        <w:t>:2</w:t>
      </w:r>
      <w:proofErr w:type="gramEnd"/>
      <w:r>
        <w:t xml:space="preserve">.  However, </w:t>
      </w:r>
      <w:r w:rsidR="00C2734A">
        <w:t xml:space="preserve">I do not </w:t>
      </w:r>
      <w:r w:rsidR="0009056C">
        <w:t>read</w:t>
      </w:r>
      <w:r w:rsidR="00C2734A">
        <w:t xml:space="preserve"> the statutory language </w:t>
      </w:r>
      <w:r w:rsidR="0009056C">
        <w:t xml:space="preserve">to </w:t>
      </w:r>
      <w:r w:rsidR="00C2734A">
        <w:t>preclude mixed use development</w:t>
      </w:r>
      <w:r w:rsidR="00023BFA">
        <w:t>, but</w:t>
      </w:r>
      <w:r w:rsidR="0009056C">
        <w:t>, in my opinion,</w:t>
      </w:r>
      <w:r w:rsidR="00023BFA">
        <w:t xml:space="preserve"> it does place constraints upon it</w:t>
      </w:r>
      <w:r w:rsidR="0009056C">
        <w:t xml:space="preserve">, and I cannot conclude with certainty that </w:t>
      </w:r>
      <w:r w:rsidR="0009056C">
        <w:lastRenderedPageBreak/>
        <w:t>these constraints are satisfied by the project described in the study, although they possibly could be</w:t>
      </w:r>
      <w:r w:rsidR="00C2734A">
        <w:t>.</w:t>
      </w:r>
    </w:p>
    <w:p w14:paraId="4607BFE8" w14:textId="77777777" w:rsidR="0009056C" w:rsidRDefault="0009056C" w:rsidP="001F4F0D"/>
    <w:p w14:paraId="325A114E" w14:textId="77777777" w:rsidR="001F4F0D" w:rsidRDefault="001F4F0D" w:rsidP="0009056C">
      <w:pPr>
        <w:ind w:firstLine="720"/>
      </w:pPr>
      <w:r>
        <w:t xml:space="preserve">Although the Abramson study identifies the subject property as well suited for residential development, it considers several possibilities for a mixed use development, including commercial office space, retail establishments, restaurants, a hotel and </w:t>
      </w:r>
      <w:r w:rsidR="007E1EA6">
        <w:t xml:space="preserve">a </w:t>
      </w:r>
      <w:r>
        <w:t>banquet/event facility.  All of these are either “commercial” or “business service” in their character.  Furthermore, property used for residential or recreational use is “real property”, which would fall within the purview of RSA §162-G</w:t>
      </w:r>
      <w:proofErr w:type="gramStart"/>
      <w:r>
        <w:t>:2</w:t>
      </w:r>
      <w:proofErr w:type="gramEnd"/>
      <w:r>
        <w:t xml:space="preserve"> if “deemed necessary” to support commercial or business service uses in the development.  </w:t>
      </w:r>
      <w:r w:rsidR="00FB22C3">
        <w:t>Property that can be “deemed necessary”</w:t>
      </w:r>
      <w:r>
        <w:t xml:space="preserve"> includes but is “not limited to” machinery and equipment</w:t>
      </w:r>
      <w:r w:rsidR="00FB22C3">
        <w:t>; therefore the statutory language</w:t>
      </w:r>
      <w:r>
        <w:t xml:space="preserve"> does not preclude residential or recreational property uses from being “deemed necessary” to support commercial or business service uses.  </w:t>
      </w:r>
      <w:r w:rsidR="0061426E">
        <w:t xml:space="preserve">The statutory language identifying </w:t>
      </w:r>
      <w:r w:rsidR="0061426E" w:rsidRPr="009416B0">
        <w:t>utility lines, storage accommodations, and transportation facilities</w:t>
      </w:r>
      <w:r w:rsidR="0061426E">
        <w:t xml:space="preserve"> as incidental to commercial land use is </w:t>
      </w:r>
      <w:r w:rsidR="0032654E">
        <w:t xml:space="preserve">also </w:t>
      </w:r>
      <w:r w:rsidR="0061426E">
        <w:t xml:space="preserve">non-exclusive.  </w:t>
      </w:r>
      <w:r>
        <w:t>Therefore, Dover’s governing body could determin</w:t>
      </w:r>
      <w:r w:rsidR="008E6174">
        <w:t>e that residential development is necessary to support contemplated commercial development</w:t>
      </w:r>
      <w:r>
        <w:t>.  However, as I am sure the City Attorney would agree, that determination must have some rational basis and cannot be arbitrary and capricious.</w:t>
      </w:r>
      <w:r w:rsidR="00CD49BE">
        <w:t xml:space="preserve">  In particular, the criteria identified in RSA §162-G</w:t>
      </w:r>
      <w:proofErr w:type="gramStart"/>
      <w:r w:rsidR="00CD49BE">
        <w:t>:8</w:t>
      </w:r>
      <w:proofErr w:type="gramEnd"/>
      <w:r w:rsidR="00CD49BE">
        <w:t xml:space="preserve"> </w:t>
      </w:r>
      <w:r w:rsidR="00AB1DD7">
        <w:t xml:space="preserve">that relate to the use of the land </w:t>
      </w:r>
      <w:r w:rsidR="00CD49BE">
        <w:t>need to be satisfied.</w:t>
      </w:r>
    </w:p>
    <w:p w14:paraId="4456B800" w14:textId="77777777" w:rsidR="007E1EA6" w:rsidRDefault="007E1EA6" w:rsidP="001F4F0D"/>
    <w:p w14:paraId="4DDDA999" w14:textId="77777777" w:rsidR="007E1EA6" w:rsidRDefault="007E1EA6" w:rsidP="001F4F0D">
      <w:r>
        <w:tab/>
        <w:t xml:space="preserve">In my opinion, the Abramson study, as written, does not provide a rational basis for determining that the residential and recreational property uses described therein would support commercial or business service uses.  But it also does not preclude the existence of a rational basis.  It is somewhat skeptical about the suitability of the subject property for use for commercial office space, retail establishments, a hotel or a banquet/event facility, but it does not offer any data or other evidence to show that these commercial/business service land uses could not be stimulated by appropriate mixed use development.  Indeed, </w:t>
      </w:r>
      <w:r w:rsidR="00002317">
        <w:t>it suggests that certain types of office use, specifically professional service firms and very small local companies, could be attracted by the proximity of housing.  It also suggests that residential and recreational property development would support</w:t>
      </w:r>
      <w:r w:rsidR="00D430C9">
        <w:t xml:space="preserve">, at </w:t>
      </w:r>
      <w:r w:rsidR="00B31F41">
        <w:t>a minimum</w:t>
      </w:r>
      <w:r w:rsidR="00D430C9">
        <w:t>,</w:t>
      </w:r>
      <w:r w:rsidR="00002317">
        <w:t xml:space="preserve"> retailers “</w:t>
      </w:r>
      <w:r w:rsidR="00002317" w:rsidRPr="00002317">
        <w:t>very limited in size with a small element of convenience, a coffee shop, and, possibly, some specialty retailers, galleries, or the like</w:t>
      </w:r>
      <w:r w:rsidR="00002317">
        <w:t>.”  There is nothing in RSA §162-G</w:t>
      </w:r>
      <w:proofErr w:type="gramStart"/>
      <w:r w:rsidR="00002317">
        <w:t>:2</w:t>
      </w:r>
      <w:proofErr w:type="gramEnd"/>
      <w:r w:rsidR="00002317">
        <w:t xml:space="preserve"> that limits its applicability to business establishments of large size.  Perhaps most importantly, according to the Abramson study, residential and recreational development would support one or more restaurants in the mixed use area, and these, in turn, might support a hotel or event facility.  In that regard, it does not consider the effect of the residential/recreational development on an entertainment facility such as a movie theater complex with an IMAX theater, a theater/concert hall, or a dinner theater.  All of the latter are, in my opinion, commercial within the meaning of RSA §162-G</w:t>
      </w:r>
      <w:proofErr w:type="gramStart"/>
      <w:r w:rsidR="00002317">
        <w:t>:2</w:t>
      </w:r>
      <w:proofErr w:type="gramEnd"/>
      <w:r w:rsidR="00D430C9">
        <w:t>, which was amended in July, 2000, to broaden its applicability to all business activities of any nature.</w:t>
      </w:r>
    </w:p>
    <w:p w14:paraId="4BC02501" w14:textId="77777777" w:rsidR="00CD49BE" w:rsidRDefault="00CD49BE" w:rsidP="001F4F0D"/>
    <w:p w14:paraId="255869B6" w14:textId="77777777" w:rsidR="00CD49BE" w:rsidRDefault="00CD49BE" w:rsidP="001F4F0D">
      <w:r>
        <w:tab/>
        <w:t xml:space="preserve">Therefore, I conclude that a mixed use development may proceed under RSA §162-G, </w:t>
      </w:r>
      <w:r w:rsidRPr="00D430C9">
        <w:rPr>
          <w:b/>
        </w:rPr>
        <w:t>provided</w:t>
      </w:r>
      <w:r w:rsidR="00E2585F">
        <w:rPr>
          <w:b/>
        </w:rPr>
        <w:t xml:space="preserve"> (</w:t>
      </w:r>
      <w:proofErr w:type="spellStart"/>
      <w:r w:rsidR="00E2585F">
        <w:rPr>
          <w:b/>
        </w:rPr>
        <w:t>i</w:t>
      </w:r>
      <w:proofErr w:type="spellEnd"/>
      <w:r w:rsidR="00E2585F">
        <w:rPr>
          <w:b/>
        </w:rPr>
        <w:t>)</w:t>
      </w:r>
      <w:r w:rsidRPr="00D430C9">
        <w:rPr>
          <w:b/>
        </w:rPr>
        <w:t xml:space="preserve"> its primary purpose is to promote commercial and/or business services uses of the land, </w:t>
      </w:r>
      <w:r w:rsidR="00E2585F">
        <w:rPr>
          <w:b/>
        </w:rPr>
        <w:t xml:space="preserve">(ii) </w:t>
      </w:r>
      <w:r w:rsidRPr="00D430C9">
        <w:rPr>
          <w:b/>
        </w:rPr>
        <w:t xml:space="preserve">there is a rational basis for determining that the </w:t>
      </w:r>
      <w:r w:rsidRPr="00D430C9">
        <w:rPr>
          <w:b/>
        </w:rPr>
        <w:lastRenderedPageBreak/>
        <w:t>proposed residential and recreational property uses will support and enable the commercial/business services land uses</w:t>
      </w:r>
      <w:r w:rsidR="004767B3">
        <w:rPr>
          <w:b/>
        </w:rPr>
        <w:t>, and</w:t>
      </w:r>
      <w:r w:rsidR="00E2585F">
        <w:rPr>
          <w:b/>
        </w:rPr>
        <w:t xml:space="preserve"> (iii)</w:t>
      </w:r>
      <w:r w:rsidR="004767B3">
        <w:rPr>
          <w:b/>
        </w:rPr>
        <w:t xml:space="preserve"> that determination is actually made </w:t>
      </w:r>
      <w:r w:rsidR="00BF799F">
        <w:rPr>
          <w:b/>
        </w:rPr>
        <w:t>b</w:t>
      </w:r>
      <w:r w:rsidR="004767B3">
        <w:rPr>
          <w:b/>
        </w:rPr>
        <w:t>y the City Council, with reference to the criteria in RSA §162-G:8</w:t>
      </w:r>
      <w:r w:rsidR="00395C55">
        <w:rPr>
          <w:b/>
        </w:rPr>
        <w:t xml:space="preserve"> insofar as those criteria relate to the use of the land</w:t>
      </w:r>
      <w:r w:rsidRPr="00D430C9">
        <w:rPr>
          <w:b/>
        </w:rPr>
        <w:t xml:space="preserve">. </w:t>
      </w:r>
      <w:r>
        <w:t xml:space="preserve"> This opinion is supported by RSA §162-G:16(IV), which provides that the Chapter’s provisions shall be liberally construed to effect its purposes, bearing in mind that those purposes are to support commercial and business activities.</w:t>
      </w:r>
      <w:r w:rsidR="005E01DB">
        <w:t xml:space="preserve">  Consideration might be given to the development of an entertainment and restaurant district with commercial office space and small retail establishments, supported by substantial residential and recreational development.  Similar developments in other small cities (for example, Winter Park, Florida</w:t>
      </w:r>
      <w:r w:rsidR="008B0008">
        <w:t xml:space="preserve">, where the residential development </w:t>
      </w:r>
      <w:r w:rsidR="004A2551">
        <w:t>includes</w:t>
      </w:r>
      <w:r w:rsidR="008B0008">
        <w:t xml:space="preserve"> the dormitories of Rollins College within walking distance of downtown</w:t>
      </w:r>
      <w:r w:rsidR="005E01DB">
        <w:t>) may provide evidentiary support for this type of mixed use.  An important factor is whether enough land is available; according to the Abramson study, the viability of the project could be improved by the bluff excavation option discussed therein.</w:t>
      </w:r>
    </w:p>
    <w:p w14:paraId="4BDC367F" w14:textId="77777777" w:rsidR="00073324" w:rsidRDefault="00073324" w:rsidP="001F4F0D"/>
    <w:p w14:paraId="5A2375A2" w14:textId="77777777" w:rsidR="001C57AF" w:rsidRDefault="001C57AF" w:rsidP="001F4F0D"/>
    <w:p w14:paraId="1D64BD57" w14:textId="77777777" w:rsidR="001C57AF" w:rsidRDefault="001C57AF" w:rsidP="001F4F0D">
      <w:r>
        <w:t>Mark A. Stull</w:t>
      </w:r>
    </w:p>
    <w:p w14:paraId="3CC08540" w14:textId="77777777" w:rsidR="001C57AF" w:rsidRPr="001C57AF" w:rsidRDefault="001C57AF" w:rsidP="001C57AF">
      <w:pPr>
        <w:pStyle w:val="HTMLPreformatted"/>
        <w:rPr>
          <w:rFonts w:ascii="Times New Roman" w:hAnsi="Times New Roman" w:cs="Times New Roman"/>
          <w:sz w:val="24"/>
          <w:szCs w:val="24"/>
        </w:rPr>
      </w:pPr>
      <w:r w:rsidRPr="001C57AF">
        <w:rPr>
          <w:rFonts w:ascii="Times New Roman" w:hAnsi="Times New Roman" w:cs="Times New Roman"/>
          <w:sz w:val="24"/>
          <w:szCs w:val="24"/>
        </w:rPr>
        <w:t>The Law Office of Mark A. Stull</w:t>
      </w:r>
    </w:p>
    <w:p w14:paraId="40C4CF80" w14:textId="77777777" w:rsidR="001C57AF" w:rsidRPr="001C57AF" w:rsidRDefault="001C57AF" w:rsidP="001C57AF">
      <w:pPr>
        <w:pStyle w:val="HTMLPreformatted"/>
        <w:rPr>
          <w:rFonts w:ascii="Times New Roman" w:hAnsi="Times New Roman" w:cs="Times New Roman"/>
          <w:sz w:val="24"/>
          <w:szCs w:val="24"/>
        </w:rPr>
      </w:pPr>
      <w:r w:rsidRPr="001C57AF">
        <w:rPr>
          <w:rFonts w:ascii="Times New Roman" w:hAnsi="Times New Roman" w:cs="Times New Roman"/>
          <w:sz w:val="24"/>
          <w:szCs w:val="24"/>
        </w:rPr>
        <w:t>63 High Street</w:t>
      </w:r>
    </w:p>
    <w:p w14:paraId="595946E0" w14:textId="77777777" w:rsidR="001C57AF" w:rsidRPr="001C57AF" w:rsidRDefault="001C57AF" w:rsidP="001C57AF">
      <w:pPr>
        <w:pStyle w:val="HTMLPreformatted"/>
        <w:rPr>
          <w:rFonts w:ascii="Times New Roman" w:hAnsi="Times New Roman" w:cs="Times New Roman"/>
          <w:sz w:val="24"/>
          <w:szCs w:val="24"/>
        </w:rPr>
      </w:pPr>
      <w:r w:rsidRPr="001C57AF">
        <w:rPr>
          <w:rFonts w:ascii="Times New Roman" w:hAnsi="Times New Roman" w:cs="Times New Roman"/>
          <w:sz w:val="24"/>
          <w:szCs w:val="24"/>
        </w:rPr>
        <w:t>Manchester, NH 03104</w:t>
      </w:r>
    </w:p>
    <w:p w14:paraId="5100F65C" w14:textId="77777777" w:rsidR="001C57AF" w:rsidRPr="001C57AF" w:rsidRDefault="001C57AF" w:rsidP="001C57AF">
      <w:pPr>
        <w:pStyle w:val="HTMLPreformatted"/>
        <w:rPr>
          <w:rFonts w:ascii="Times New Roman" w:hAnsi="Times New Roman" w:cs="Times New Roman"/>
          <w:sz w:val="24"/>
          <w:szCs w:val="24"/>
        </w:rPr>
      </w:pPr>
      <w:r w:rsidRPr="001C57AF">
        <w:rPr>
          <w:rFonts w:ascii="Times New Roman" w:hAnsi="Times New Roman" w:cs="Times New Roman"/>
          <w:sz w:val="24"/>
          <w:szCs w:val="24"/>
        </w:rPr>
        <w:t>(603) 232-3687</w:t>
      </w:r>
    </w:p>
    <w:p w14:paraId="2CF81259" w14:textId="77777777" w:rsidR="001C57AF" w:rsidRPr="001C57AF" w:rsidRDefault="001C57AF" w:rsidP="001C57AF">
      <w:pPr>
        <w:pStyle w:val="HTMLPreformatted"/>
        <w:rPr>
          <w:rFonts w:ascii="Times New Roman" w:hAnsi="Times New Roman" w:cs="Times New Roman"/>
          <w:sz w:val="24"/>
          <w:szCs w:val="24"/>
        </w:rPr>
      </w:pPr>
      <w:r w:rsidRPr="001C57AF">
        <w:rPr>
          <w:rFonts w:ascii="Times New Roman" w:hAnsi="Times New Roman" w:cs="Times New Roman"/>
          <w:sz w:val="24"/>
          <w:szCs w:val="24"/>
        </w:rPr>
        <w:t>(603) 232-3728 (fax)</w:t>
      </w:r>
    </w:p>
    <w:p w14:paraId="43E49B87" w14:textId="77777777" w:rsidR="001C57AF" w:rsidRPr="001C57AF" w:rsidRDefault="00AB31DE" w:rsidP="001C57AF">
      <w:pPr>
        <w:pStyle w:val="HTMLPreformatted"/>
        <w:rPr>
          <w:rFonts w:ascii="Times New Roman" w:hAnsi="Times New Roman" w:cs="Times New Roman"/>
          <w:sz w:val="24"/>
          <w:szCs w:val="24"/>
        </w:rPr>
      </w:pPr>
      <w:hyperlink r:id="rId7" w:history="1">
        <w:r w:rsidR="001C57AF" w:rsidRPr="001C57AF">
          <w:rPr>
            <w:rStyle w:val="Hyperlink"/>
            <w:rFonts w:ascii="Times New Roman" w:hAnsi="Times New Roman" w:cs="Times New Roman"/>
            <w:sz w:val="24"/>
            <w:szCs w:val="24"/>
          </w:rPr>
          <w:t>mastulllaw@comcast.net</w:t>
        </w:r>
      </w:hyperlink>
    </w:p>
    <w:p w14:paraId="342F508D" w14:textId="77777777" w:rsidR="001C57AF" w:rsidRPr="00A01B15" w:rsidRDefault="001C57AF" w:rsidP="001F4F0D"/>
    <w:sectPr w:rsidR="001C57AF" w:rsidRPr="00A01B15" w:rsidSect="002B0894">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1F772" w14:textId="77777777" w:rsidR="00595B7E" w:rsidRDefault="00595B7E" w:rsidP="002B0894">
      <w:r>
        <w:separator/>
      </w:r>
    </w:p>
  </w:endnote>
  <w:endnote w:type="continuationSeparator" w:id="0">
    <w:p w14:paraId="2D2040AD" w14:textId="77777777" w:rsidR="00595B7E" w:rsidRDefault="00595B7E" w:rsidP="002B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1688"/>
      <w:docPartObj>
        <w:docPartGallery w:val="Page Numbers (Bottom of Page)"/>
        <w:docPartUnique/>
      </w:docPartObj>
    </w:sdtPr>
    <w:sdtEndPr/>
    <w:sdtContent>
      <w:p w14:paraId="35E30EBE" w14:textId="77777777" w:rsidR="002B0894" w:rsidRDefault="0030687B">
        <w:pPr>
          <w:pStyle w:val="Footer"/>
          <w:jc w:val="center"/>
        </w:pPr>
        <w:r>
          <w:fldChar w:fldCharType="begin"/>
        </w:r>
        <w:r>
          <w:instrText xml:space="preserve"> PAGE   \* MERGEFORMAT </w:instrText>
        </w:r>
        <w:r>
          <w:fldChar w:fldCharType="separate"/>
        </w:r>
        <w:r w:rsidR="00AB31DE">
          <w:rPr>
            <w:noProof/>
          </w:rPr>
          <w:t>2</w:t>
        </w:r>
        <w:r>
          <w:rPr>
            <w:noProof/>
          </w:rPr>
          <w:fldChar w:fldCharType="end"/>
        </w:r>
      </w:p>
    </w:sdtContent>
  </w:sdt>
  <w:p w14:paraId="62B957DA" w14:textId="77777777" w:rsidR="002B0894" w:rsidRDefault="002B089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20824" w14:textId="77777777" w:rsidR="00595B7E" w:rsidRDefault="00595B7E" w:rsidP="002B0894">
      <w:r>
        <w:separator/>
      </w:r>
    </w:p>
  </w:footnote>
  <w:footnote w:type="continuationSeparator" w:id="0">
    <w:p w14:paraId="797FEAB3" w14:textId="77777777" w:rsidR="00595B7E" w:rsidRDefault="00595B7E" w:rsidP="002B0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6F"/>
    <w:rsid w:val="00002317"/>
    <w:rsid w:val="00023BFA"/>
    <w:rsid w:val="00073324"/>
    <w:rsid w:val="0009056C"/>
    <w:rsid w:val="00101940"/>
    <w:rsid w:val="00105BB9"/>
    <w:rsid w:val="001C57AF"/>
    <w:rsid w:val="001F4F0D"/>
    <w:rsid w:val="00212A9C"/>
    <w:rsid w:val="002B0894"/>
    <w:rsid w:val="002F1076"/>
    <w:rsid w:val="0030687B"/>
    <w:rsid w:val="0032654E"/>
    <w:rsid w:val="00371C48"/>
    <w:rsid w:val="00392AE2"/>
    <w:rsid w:val="00395C55"/>
    <w:rsid w:val="004320EC"/>
    <w:rsid w:val="004767B3"/>
    <w:rsid w:val="004A2551"/>
    <w:rsid w:val="00523A44"/>
    <w:rsid w:val="00595B7E"/>
    <w:rsid w:val="005E01DB"/>
    <w:rsid w:val="005E795E"/>
    <w:rsid w:val="00601DB9"/>
    <w:rsid w:val="0061426E"/>
    <w:rsid w:val="007E1EA6"/>
    <w:rsid w:val="00812C23"/>
    <w:rsid w:val="008B0008"/>
    <w:rsid w:val="008E6174"/>
    <w:rsid w:val="009416B0"/>
    <w:rsid w:val="00A01B15"/>
    <w:rsid w:val="00A65A6F"/>
    <w:rsid w:val="00AB1DD7"/>
    <w:rsid w:val="00AB31DE"/>
    <w:rsid w:val="00B31F41"/>
    <w:rsid w:val="00B54C14"/>
    <w:rsid w:val="00B855C1"/>
    <w:rsid w:val="00B9653D"/>
    <w:rsid w:val="00BF2C68"/>
    <w:rsid w:val="00BF799F"/>
    <w:rsid w:val="00C2734A"/>
    <w:rsid w:val="00CD49BE"/>
    <w:rsid w:val="00D430C9"/>
    <w:rsid w:val="00DB340B"/>
    <w:rsid w:val="00E2585F"/>
    <w:rsid w:val="00ED1C0A"/>
    <w:rsid w:val="00F5690F"/>
    <w:rsid w:val="00FB2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46A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1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01B15"/>
    <w:rPr>
      <w:rFonts w:ascii="Courier New" w:hAnsi="Courier New" w:cs="Courier New"/>
    </w:rPr>
  </w:style>
  <w:style w:type="character" w:styleId="Hyperlink">
    <w:name w:val="Hyperlink"/>
    <w:basedOn w:val="DefaultParagraphFont"/>
    <w:uiPriority w:val="99"/>
    <w:semiHidden/>
    <w:unhideWhenUsed/>
    <w:rsid w:val="001C57AF"/>
    <w:rPr>
      <w:color w:val="0000FF"/>
      <w:u w:val="single"/>
    </w:rPr>
  </w:style>
  <w:style w:type="paragraph" w:styleId="Header">
    <w:name w:val="header"/>
    <w:basedOn w:val="Normal"/>
    <w:link w:val="HeaderChar"/>
    <w:uiPriority w:val="99"/>
    <w:semiHidden/>
    <w:unhideWhenUsed/>
    <w:rsid w:val="002B0894"/>
    <w:pPr>
      <w:tabs>
        <w:tab w:val="center" w:pos="4680"/>
        <w:tab w:val="right" w:pos="9360"/>
      </w:tabs>
    </w:pPr>
  </w:style>
  <w:style w:type="character" w:customStyle="1" w:styleId="HeaderChar">
    <w:name w:val="Header Char"/>
    <w:basedOn w:val="DefaultParagraphFont"/>
    <w:link w:val="Header"/>
    <w:uiPriority w:val="99"/>
    <w:semiHidden/>
    <w:rsid w:val="002B0894"/>
    <w:rPr>
      <w:sz w:val="24"/>
      <w:szCs w:val="24"/>
    </w:rPr>
  </w:style>
  <w:style w:type="paragraph" w:styleId="Footer">
    <w:name w:val="footer"/>
    <w:basedOn w:val="Normal"/>
    <w:link w:val="FooterChar"/>
    <w:uiPriority w:val="99"/>
    <w:unhideWhenUsed/>
    <w:rsid w:val="002B0894"/>
    <w:pPr>
      <w:tabs>
        <w:tab w:val="center" w:pos="4680"/>
        <w:tab w:val="right" w:pos="9360"/>
      </w:tabs>
    </w:pPr>
  </w:style>
  <w:style w:type="character" w:customStyle="1" w:styleId="FooterChar">
    <w:name w:val="Footer Char"/>
    <w:basedOn w:val="DefaultParagraphFont"/>
    <w:link w:val="Footer"/>
    <w:uiPriority w:val="99"/>
    <w:rsid w:val="002B0894"/>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1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01B15"/>
    <w:rPr>
      <w:rFonts w:ascii="Courier New" w:hAnsi="Courier New" w:cs="Courier New"/>
    </w:rPr>
  </w:style>
  <w:style w:type="character" w:styleId="Hyperlink">
    <w:name w:val="Hyperlink"/>
    <w:basedOn w:val="DefaultParagraphFont"/>
    <w:uiPriority w:val="99"/>
    <w:semiHidden/>
    <w:unhideWhenUsed/>
    <w:rsid w:val="001C57AF"/>
    <w:rPr>
      <w:color w:val="0000FF"/>
      <w:u w:val="single"/>
    </w:rPr>
  </w:style>
  <w:style w:type="paragraph" w:styleId="Header">
    <w:name w:val="header"/>
    <w:basedOn w:val="Normal"/>
    <w:link w:val="HeaderChar"/>
    <w:uiPriority w:val="99"/>
    <w:semiHidden/>
    <w:unhideWhenUsed/>
    <w:rsid w:val="002B0894"/>
    <w:pPr>
      <w:tabs>
        <w:tab w:val="center" w:pos="4680"/>
        <w:tab w:val="right" w:pos="9360"/>
      </w:tabs>
    </w:pPr>
  </w:style>
  <w:style w:type="character" w:customStyle="1" w:styleId="HeaderChar">
    <w:name w:val="Header Char"/>
    <w:basedOn w:val="DefaultParagraphFont"/>
    <w:link w:val="Header"/>
    <w:uiPriority w:val="99"/>
    <w:semiHidden/>
    <w:rsid w:val="002B0894"/>
    <w:rPr>
      <w:sz w:val="24"/>
      <w:szCs w:val="24"/>
    </w:rPr>
  </w:style>
  <w:style w:type="paragraph" w:styleId="Footer">
    <w:name w:val="footer"/>
    <w:basedOn w:val="Normal"/>
    <w:link w:val="FooterChar"/>
    <w:uiPriority w:val="99"/>
    <w:unhideWhenUsed/>
    <w:rsid w:val="002B0894"/>
    <w:pPr>
      <w:tabs>
        <w:tab w:val="center" w:pos="4680"/>
        <w:tab w:val="right" w:pos="9360"/>
      </w:tabs>
    </w:pPr>
  </w:style>
  <w:style w:type="character" w:customStyle="1" w:styleId="FooterChar">
    <w:name w:val="Footer Char"/>
    <w:basedOn w:val="DefaultParagraphFont"/>
    <w:link w:val="Footer"/>
    <w:uiPriority w:val="99"/>
    <w:rsid w:val="002B08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62869">
      <w:bodyDiv w:val="1"/>
      <w:marLeft w:val="0"/>
      <w:marRight w:val="0"/>
      <w:marTop w:val="0"/>
      <w:marBottom w:val="0"/>
      <w:divBdr>
        <w:top w:val="none" w:sz="0" w:space="0" w:color="auto"/>
        <w:left w:val="none" w:sz="0" w:space="0" w:color="auto"/>
        <w:bottom w:val="none" w:sz="0" w:space="0" w:color="auto"/>
        <w:right w:val="none" w:sz="0" w:space="0" w:color="auto"/>
      </w:divBdr>
    </w:div>
    <w:div w:id="169484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astulllaw@comcast.net"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1070</Words>
  <Characters>6102</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Stull</dc:creator>
  <cp:lastModifiedBy>Catherine Cheney</cp:lastModifiedBy>
  <cp:revision>3</cp:revision>
  <dcterms:created xsi:type="dcterms:W3CDTF">2015-03-04T22:39:00Z</dcterms:created>
  <dcterms:modified xsi:type="dcterms:W3CDTF">2015-03-04T22:53:00Z</dcterms:modified>
</cp:coreProperties>
</file>